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149" w:rsidRPr="00A22E28" w:rsidRDefault="00415149" w:rsidP="00415149">
      <w:pPr>
        <w:shd w:val="clear" w:color="auto" w:fill="FFFFFF"/>
        <w:spacing w:after="0" w:line="240" w:lineRule="auto"/>
        <w:jc w:val="both"/>
        <w:rPr>
          <w:rFonts w:eastAsia="Times New Roman"/>
          <w:sz w:val="20"/>
          <w:szCs w:val="20"/>
          <w:lang w:eastAsia="ro-RO"/>
        </w:rPr>
      </w:pPr>
      <w:r w:rsidRPr="00A22E28">
        <w:rPr>
          <w:rFonts w:eastAsia="Times New Roman"/>
          <w:b/>
          <w:noProof/>
          <w:color w:val="333399"/>
          <w:sz w:val="20"/>
          <w:szCs w:val="20"/>
          <w:lang w:eastAsia="ro-RO"/>
        </w:rPr>
        <w:drawing>
          <wp:inline distT="0" distB="0" distL="0" distR="0">
            <wp:extent cx="95250" cy="95250"/>
            <wp:effectExtent l="0" t="0" r="0" b="0"/>
            <wp:docPr id="1" name="Imagine 1" descr="D:\Users\cnutu\sintact 3.0\cache\Legislatia Uniunii Europen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Users\cnutu\sintact 3.0\cache\Legislatia Uniunii Europene\m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2E28">
        <w:rPr>
          <w:rFonts w:eastAsia="Times New Roman"/>
          <w:b/>
          <w:bCs/>
          <w:sz w:val="20"/>
          <w:szCs w:val="20"/>
          <w:lang w:eastAsia="ro-RO"/>
        </w:rPr>
        <w:t>ANEXA II:</w:t>
      </w:r>
      <w:r w:rsidRPr="00A22E28">
        <w:rPr>
          <w:rFonts w:eastAsia="Times New Roman"/>
          <w:sz w:val="20"/>
          <w:szCs w:val="20"/>
          <w:lang w:eastAsia="ro-RO"/>
        </w:rPr>
        <w:t xml:space="preserve"> </w:t>
      </w:r>
      <w:r w:rsidRPr="00A22E28">
        <w:rPr>
          <w:rFonts w:eastAsia="Times New Roman"/>
          <w:b/>
          <w:bCs/>
          <w:sz w:val="20"/>
          <w:szCs w:val="20"/>
          <w:lang w:eastAsia="ro-RO"/>
        </w:rPr>
        <w:t>SUME ŞI RATE DE SPRIJIN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3096"/>
        <w:gridCol w:w="1258"/>
        <w:gridCol w:w="3773"/>
      </w:tblGrid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bookmarkStart w:id="0" w:name="do|axII|pa1"/>
            <w:bookmarkEnd w:id="0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Articol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Subiect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Cuantumul maxim în EUR sau rata maximă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sz w:val="20"/>
                <w:szCs w:val="20"/>
                <w:lang w:eastAsia="ro-RO"/>
              </w:rPr>
              <w:t> 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15(8)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Servicii de consiliere, servicii de gestionare 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exploataţiei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servicii de înlocuire în cadrul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exploataţiei</w:t>
            </w:r>
            <w:proofErr w:type="spellEnd"/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1 500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Pe serviciu de consiliere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200 000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o perioadă de trei ani pentru formarea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consultanţilor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16(2)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Activităţi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informare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promovare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costurile eligibile ale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acţiunii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16(4)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Scheme de calitate sau produse agricole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alimentare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exploataţie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17(3)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active fizice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Sectorul agricol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50 %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mai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puţin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dezvoltate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toate regiunile al căror PIB pe cap de locuitor în perioada 2007-2013 a reprezentat sub 75 % din media UE-25 pentru perioada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referinţă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, dar al căror PIB pe cap de locuitor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depăşeşte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75 % din PIB-ul mediu al UE-27.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ultraperiferice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Croaţia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pentru punerea în aplicare a Directivei </w:t>
            </w:r>
            <w:hyperlink r:id="rId6" w:history="1">
              <w:r w:rsidRPr="00A22E28">
                <w:rPr>
                  <w:rFonts w:eastAsia="Times New Roman"/>
                  <w:b/>
                  <w:bCs/>
                  <w:color w:val="333399"/>
                  <w:sz w:val="20"/>
                  <w:szCs w:val="20"/>
                  <w:u w:val="single"/>
                  <w:lang w:eastAsia="ro-RO"/>
                </w:rPr>
                <w:t>91/676/CEE</w:t>
              </w:r>
            </w:hyperlink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(</w:t>
            </w:r>
            <w:r w:rsidRPr="00A22E28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ro-RO"/>
              </w:rPr>
              <w:t>1</w:t>
            </w: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) a Consiliului în termen de maximum patru ani de la data aderării în conformitate cu articolul 3 alineatul (2)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articolul 5 alineatul (1) din directiva respectivă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insulele mici din Marea Egee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alte regiuni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Ratele de mai sus pot fi majorate cu 20 puncte procentuale suplimentare, cu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condiţia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ca rata maximă a sprijinului combinat să nu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depăşească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90 %, în cazul: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- tinerilor fermieri astfel cum sunt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definiţi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la articolul 2 din prezentul regulament sau cei care s-au stabilit în cei cinci ani anteriori cererii de sprijin;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-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colective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al proiectelor integrate, inclusiv al celor legate de o fuziune a unor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organizaţii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producători;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- zonelor care se confruntă cu constrângeri naturale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cu alte constrângeri specifice,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menţionate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la articolul 32;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-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sprijinite în cadrul PEI;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-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legate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prevăzute la articolele 28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29.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Prelucrarea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comercializarea produselor enumerate în anexa I la </w:t>
            </w:r>
            <w:hyperlink r:id="rId7" w:history="1">
              <w:r w:rsidRPr="00A22E28">
                <w:rPr>
                  <w:rFonts w:eastAsia="Times New Roman"/>
                  <w:b/>
                  <w:bCs/>
                  <w:color w:val="333399"/>
                  <w:sz w:val="20"/>
                  <w:szCs w:val="20"/>
                  <w:u w:val="single"/>
                  <w:lang w:eastAsia="ro-RO"/>
                </w:rPr>
                <w:t>TFUE</w:t>
              </w:r>
            </w:hyperlink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50 %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mai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puţin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dezvoltate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toate regiunile al căror PIB pe cap de locuitor în perioada 2007-2013 a reprezentat sub 75 % din media UE-25 pentru perioada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referinţă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, dar al căror PIB pe cap de locuitor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depăşeşte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75 % din PIB-ul mediu al UE-27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ultraperiferice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insulele mici din Marea Egee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alte regiuni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Ratele de mai sus pot fi majorate cu 20 puncte procentuale suplimentare, cu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condiţia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ca rata maximă a sprijinului combinat să nu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depăşească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90 % în cazul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sprijinite în cadrul PEI sau celor legate de o fuziune a unor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organizaţii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producători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17(4)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active fizice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100 %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neproductive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infrastructura agricolă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forestieră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18(5)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Refacerea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potenţialului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producţie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agricolă afectat de dezastre naturale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instituirea unor măsuri de prevenire corespunzătoare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80 %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costurilor eligibile aferente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cazul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prevenire realizate de fermieri individuali.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100 %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costurilor eligibile aferente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cazul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prevenire realizate în comun de mai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mulţi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beneficiari.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100 %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costurilor eligibile aferente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cazul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operaţiunilor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refacere a terenurilor agricole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potenţialului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producţie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, afectate de dezastrele naturale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evenimentele catastrofale.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19(6)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Dezvoltarea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exploataţiilor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 întreprinderilor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70 000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Pe tânăr fermier în temeiul articolului 19 alineatul (1) litera (a) punctul (i)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70 000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Pe beneficiar în temeiul articolului 19 alineatul (1) litera (a) punctul (ii)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15 000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Pe fermă mică în temeiul articolului 19 alineatul (1) litera (a) punctul (iii)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23(3)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Înfiinţarea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sisteme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agroforestiere</w:t>
            </w:r>
            <w:proofErr w:type="spellEnd"/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80 %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pentru instituirea de sisteme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agroforestiere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26(4)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tehnologii forestiere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în prelucrarea, mobilizarea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comercializarea produselor forestiere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mai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puţin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dezvoltate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regiunile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ultraperiferice</w:t>
            </w:r>
            <w:proofErr w:type="spellEnd"/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75 %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insulele mici din Marea Egee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Din valoarea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investiţiilor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eligibile în alte regiuni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27(4)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Înfiinţarea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grupuri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organizaţii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producători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10 %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Ca procent din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producţia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comercializată în primii cinci ani de la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recunoaştere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. Sprijinul este degresiv.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100 000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Cuantumul maxim pe an în toate cazurile.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28(8)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Agromediu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climă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culturile anuale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900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culturile perene specializate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450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alte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modalităţi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de utilizare a terenurilor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unitate vită mare ("UVM")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rasele locale în pericol de abandon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29(5)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Agricultura ecologică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culturile anuale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900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culturile perene specializate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450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alte utilizări ale terenurilor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30(7)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Plăţi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Natura 2000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plăţi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legate de Directiva-cadru privind apa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500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Maximum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în perioada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iniţială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care nu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depăşeşte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cinci ani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Maximum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50 (**)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Minimum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plăţile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legate de Directiva-cadrul privind apa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31(3)</w:t>
            </w:r>
          </w:p>
        </w:tc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Plăţi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pentru zone care se confruntă cu constrângeri naturale sau cu alte constrângeri specifice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25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Minimum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pentru media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suprafeţei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exploatate de beneficiarul sprijinului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250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Maximum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450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Maximum 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 în zonele montane, astfel cum sunt definite la articolul 32 alineatul (2)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33(3)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Bunăstarea animalelor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500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Pe UVM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34(3)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Servicii de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silvomediu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, servicii climatice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conservarea pădurilor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200 (*)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Pe hectar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 an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37(5)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Asigurarea culturilor, a animalelor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 plantelor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Din prima de asigurare datorată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38(5)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Fonduri mutuale pentru fenomenele climatice nefavorabile, bolile animalelor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ale plantelor, infestările cu dăunători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şi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pentru incidente de mediu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Din costurile eligibile.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39(5)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Instrumentul de stabilizare a veniturilor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65 %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Din costurile eligibile</w:t>
            </w:r>
          </w:p>
        </w:tc>
      </w:tr>
      <w:tr w:rsidR="00415149" w:rsidRPr="00A22E28" w:rsidTr="00920382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(</w:t>
            </w:r>
            <w:r w:rsidRPr="00A22E28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ro-RO"/>
              </w:rPr>
              <w:t>1</w:t>
            </w: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) Directiva </w:t>
            </w:r>
            <w:hyperlink r:id="rId8" w:history="1">
              <w:r w:rsidRPr="00A22E28">
                <w:rPr>
                  <w:rFonts w:eastAsia="Times New Roman"/>
                  <w:b/>
                  <w:bCs/>
                  <w:color w:val="333399"/>
                  <w:sz w:val="20"/>
                  <w:szCs w:val="20"/>
                  <w:u w:val="single"/>
                  <w:lang w:eastAsia="ro-RO"/>
                </w:rPr>
                <w:t>91/676/CEE</w:t>
              </w:r>
            </w:hyperlink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 Consiliului din 12 decembrie 1991 privind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protecţia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apelor împotriva poluării cu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nitraţi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proveniţi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din surse agricole (JO L 375, 31.12.1991, p. 1).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(*) Aceste cuantumuri pot fi majorate în cazuri justificate corespunzător, luându-se în considerare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circumstanţe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specifice care trebuie justificate în programele de dezvoltare rurală.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lastRenderedPageBreak/>
              <w:t xml:space="preserve">(**) Aceste cuantumuri pot fi diminuate în cazuri justificate corespunzător, luându-se în considerare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circumstanţe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specifice care trebuie justificate în programele de dezvoltare rurală.</w:t>
            </w:r>
          </w:p>
          <w:p w:rsidR="00415149" w:rsidRPr="00A22E28" w:rsidRDefault="00415149" w:rsidP="0092038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o-RO"/>
              </w:rPr>
            </w:pPr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NB: </w:t>
            </w:r>
            <w:proofErr w:type="spellStart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>Intensităţile</w:t>
            </w:r>
            <w:proofErr w:type="spellEnd"/>
            <w:r w:rsidRPr="00A22E28">
              <w:rPr>
                <w:rFonts w:eastAsia="Times New Roman"/>
                <w:color w:val="000000"/>
                <w:sz w:val="20"/>
                <w:szCs w:val="20"/>
                <w:lang w:eastAsia="ro-RO"/>
              </w:rPr>
              <w:t xml:space="preserve"> ajutorului nu aduc atingere normelor Uniunii în materie de ajutoare de stat.</w:t>
            </w:r>
          </w:p>
        </w:tc>
      </w:tr>
    </w:tbl>
    <w:p w:rsidR="009945F4" w:rsidRDefault="009945F4">
      <w:bookmarkStart w:id="1" w:name="_GoBack"/>
      <w:bookmarkEnd w:id="1"/>
    </w:p>
    <w:sectPr w:rsidR="00994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49"/>
    <w:rsid w:val="00415149"/>
    <w:rsid w:val="0099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494E5A-3222-4C12-AC6D-AA7CEB46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5149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ora\Users\cnutu\sintact%203.0\cache\Legislatia%20Uniunii%20Europene\temp984772\12017412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Lora\Users\cnutu\sintact%203.0\cache\Legislatia%20Uniunii%20Europene\temp984772\12014103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ora\Users\cnutu\sintact%203.0\cache\Legislatia%20Uniunii%20Europene\temp984772\12017412.ht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file:///C:\Users\Lora\Users\cnutu\sintact%203.0\cache\Legislatia%20Uniunii%20Europene\temp984772\12038325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2018-02-13T12:58:00Z</dcterms:created>
  <dcterms:modified xsi:type="dcterms:W3CDTF">2018-02-13T13:00:00Z</dcterms:modified>
</cp:coreProperties>
</file>